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6383" w:leader="none"/>
        </w:tabs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Հ Ա Յ Տ Ա Ր Ա Ր ՈՒ Թ Յ ՈՒ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Ն</w:t>
      </w:r>
    </w:p>
    <w:p>
      <w:pPr>
        <w:tabs>
          <w:tab w:val="left" w:pos="6383" w:leader="none"/>
        </w:tabs>
        <w:spacing w:before="0" w:after="0" w:line="240"/>
        <w:ind w:right="0" w:left="0" w:firstLine="0"/>
        <w:jc w:val="center"/>
        <w:rPr>
          <w:rFonts w:ascii="Times Armenian" w:hAnsi="Times Armenian" w:cs="Times Armenian" w:eastAsia="Times Armenian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220" w:left="851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Գյումրու քաղաքապետարանի համայնքային սեփականություն հանդիսացող հողամասերի հրապարակային սակարկությունների (աճուրդների)</w:t>
      </w:r>
    </w:p>
    <w:p>
      <w:pPr>
        <w:spacing w:before="0" w:after="0" w:line="240"/>
        <w:ind w:right="220" w:left="851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1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Կազմակերպման և անցկացման հանձնաժողովը հայտարարում է համայնքային սեփականություն համարվող ներքոհիշյալ հողամասերի փակ դասական աճուրդ</w:t>
      </w:r>
    </w:p>
    <w:tbl>
      <w:tblPr/>
      <w:tblGrid>
        <w:gridCol w:w="567"/>
        <w:gridCol w:w="2412"/>
        <w:gridCol w:w="1393"/>
        <w:gridCol w:w="1725"/>
        <w:gridCol w:w="2267"/>
        <w:gridCol w:w="1559"/>
        <w:gridCol w:w="1701"/>
        <w:gridCol w:w="2387"/>
        <w:gridCol w:w="2009"/>
      </w:tblGrid>
      <w:tr>
        <w:trPr>
          <w:trHeight w:val="553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iolin" w:hAnsi="Briolin" w:cs="Briolin" w:eastAsia="Briolin"/>
                <w:color w:val="auto"/>
                <w:spacing w:val="0"/>
                <w:position w:val="0"/>
                <w:sz w:val="14"/>
                <w:shd w:fill="auto" w:val="clear"/>
              </w:rPr>
              <w:t xml:space="preserve">№                          </w:t>
            </w:r>
          </w:p>
        </w:tc>
        <w:tc>
          <w:tcPr>
            <w:tcW w:w="2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Հողամասի հասցեն /գտնվելու վայրը/ տարածագնահատման գոտին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  <w:t xml:space="preserve">Ծածկագիր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Մակերեսը քառ.մ.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Հողամասի նպատակային և գործառնական նշանակությունը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Հողամասի օգտագործման նպատակը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Հողամասի նկատմամբ սահմանափակում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ների /ներառյալ սերվիտուտների/ առկայությունը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2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Շրջակա միջավայրի և պատմամշակութային հուշարձանների պահպանության,բնապահպանական և հողերի պահպանության միջոցառումները</w:t>
            </w:r>
          </w:p>
        </w:tc>
        <w:tc>
          <w:tcPr>
            <w:tcW w:w="2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Մեկնարկային գինը 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դրամ/</w:t>
            </w:r>
          </w:p>
        </w:tc>
      </w:tr>
      <w:tr>
        <w:trPr>
          <w:trHeight w:val="607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1.</w:t>
            </w:r>
          </w:p>
        </w:tc>
        <w:tc>
          <w:tcPr>
            <w:tcW w:w="2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Մերկուրովի փող., № 7/4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9-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րդ գոտի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  <w:t xml:space="preserve">08-001-0301-0039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154,52</w:t>
            </w:r>
          </w:p>
        </w:tc>
        <w:tc>
          <w:tcPr>
            <w:tcW w:w="1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Բնակավայրերի բնակելի կառուցապատում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Կառուցապատման նպատակով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2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չի պահանջվում</w:t>
            </w:r>
          </w:p>
        </w:tc>
        <w:tc>
          <w:tcPr>
            <w:tcW w:w="2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770 000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Յոթ հարյուր յոթանասուն հազար</w:t>
            </w:r>
          </w:p>
        </w:tc>
      </w:tr>
      <w:tr>
        <w:trPr>
          <w:trHeight w:val="533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2.</w:t>
            </w:r>
          </w:p>
        </w:tc>
        <w:tc>
          <w:tcPr>
            <w:tcW w:w="24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Ղանդիլյան փող., 1 նրբ.,№ 23/3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9-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րդ գոտի</w:t>
            </w:r>
          </w:p>
        </w:tc>
        <w:tc>
          <w:tcPr>
            <w:tcW w:w="1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u w:val="single"/>
                <w:shd w:fill="auto" w:val="clear"/>
              </w:rPr>
              <w:t xml:space="preserve">08-001-1311-0096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87,0</w:t>
            </w:r>
          </w:p>
        </w:tc>
        <w:tc>
          <w:tcPr>
            <w:tcW w:w="1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Բնակավայրերի բնակելի կառուցապատում</w:t>
            </w:r>
          </w:p>
        </w:tc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Կառուցապատման նպատակով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</w:t>
            </w:r>
          </w:p>
        </w:tc>
        <w:tc>
          <w:tcPr>
            <w:tcW w:w="23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չի պահանջվում</w:t>
            </w:r>
          </w:p>
        </w:tc>
        <w:tc>
          <w:tcPr>
            <w:tcW w:w="2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435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000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Չորս  հարյուր երեսունհինգ հազար</w:t>
            </w:r>
          </w:p>
        </w:tc>
      </w:tr>
    </w:tbl>
    <w:p>
      <w:pPr>
        <w:tabs>
          <w:tab w:val="left" w:pos="10348" w:leader="none"/>
        </w:tabs>
        <w:spacing w:before="0" w:after="0" w:line="240"/>
        <w:ind w:right="-48" w:left="567" w:firstLine="0"/>
        <w:jc w:val="both"/>
        <w:rPr>
          <w:rFonts w:ascii="Times Armenian" w:hAnsi="Times Armenian" w:cs="Times Armenian" w:eastAsia="Times Armenian"/>
          <w:color w:val="auto"/>
          <w:spacing w:val="0"/>
          <w:position w:val="0"/>
          <w:sz w:val="10"/>
          <w:shd w:fill="auto" w:val="clear"/>
        </w:rPr>
      </w:pPr>
    </w:p>
    <w:p>
      <w:pPr>
        <w:tabs>
          <w:tab w:val="left" w:pos="10348" w:leader="none"/>
        </w:tabs>
        <w:spacing w:before="0" w:after="0" w:line="240"/>
        <w:ind w:right="-48" w:left="567" w:firstLine="142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Աճուրդի հաղթողները պետք է համամասնօրեն մասնակցեն նախագծային թաղամասի ճանապարհների և ընդհանուր ինժեներական կոմունիկացիոն ցանցերի նախագծման և կառուցման աշխատանքներին:</w:t>
      </w:r>
    </w:p>
    <w:p>
      <w:pPr>
        <w:tabs>
          <w:tab w:val="left" w:pos="10348" w:leader="none"/>
        </w:tabs>
        <w:spacing w:before="0" w:after="0" w:line="240"/>
        <w:ind w:right="-48" w:left="567" w:firstLine="142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Աճուրդին մասնակցել ցանկացող անձինք աճուրդի կազմակերպման և անցկացման ընթացակարգի, հողամասերի վերաբերյալ գրաֆիրարան նյութերին կարող են ծանոթանալ Գյումրու քաղաքապետարանում /Վարդանանց հր., 1/, ինչպես նաև Գյումրու քաղաքապետարանի ինտերնետային կայքում՝ </w:t>
      </w:r>
      <w:hyperlink xmlns:r="http://schemas.openxmlformats.org/officeDocument/2006/relationships" r:id="docRId0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16"/>
            <w:u w:val="single"/>
            <w:shd w:fill="auto" w:val="clear"/>
          </w:rPr>
          <w:t xml:space="preserve">www.gyumricity.am</w:t>
        </w:r>
      </w:hyperlink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:</w:t>
      </w:r>
    </w:p>
    <w:p>
      <w:pPr>
        <w:tabs>
          <w:tab w:val="left" w:pos="10348" w:leader="none"/>
        </w:tabs>
        <w:spacing w:before="0" w:after="0" w:line="240"/>
        <w:ind w:right="-48" w:left="567" w:firstLine="142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Աճուրդին մասնակցելու իրավունք ունեն՝ ՀՀ քաղաքացիներն ու իրավաբանական անձինք և ՀՀ օրենսդրությամբ սահմանված հողի սեփականության իրավունքի այլ սուբյեկտներ և հողօգտագործողներ:</w:t>
      </w:r>
    </w:p>
    <w:p>
      <w:pPr>
        <w:tabs>
          <w:tab w:val="left" w:pos="10348" w:leader="none"/>
        </w:tabs>
        <w:spacing w:before="0" w:after="0" w:line="240"/>
        <w:ind w:right="-48" w:left="567" w:firstLine="142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Աճուրդի պայմանների, մանրամասներին՝ հողամասի ելակետային տվյալներին, ճարտարապետահատակագծային առաջադրանքի պահանջներին և պայմաններին, հողամասի հատակագծին, պայմանագրի տիպային օրինակին ծանոթանալու ու հայտ ներկայացնելու համար դիմել Գյումրու քաղաքապետարան /Վարդանանց հր., 1, հեռ. 4-82-44/:</w:t>
      </w:r>
    </w:p>
    <w:p>
      <w:pPr>
        <w:tabs>
          <w:tab w:val="left" w:pos="10348" w:leader="none"/>
        </w:tabs>
        <w:spacing w:before="0" w:after="0" w:line="240"/>
        <w:ind w:right="-48" w:left="567" w:firstLine="142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  <w:t xml:space="preserve">Աճուրդը կայանալու է 2014 թ. ապրիլի 4-ին ժ. 16⁰⁰-ին, Վարդանանց հր., 1, 2-րդ հարկ: Հայտերն ընդունվում են աշխատանքային օրերին՝ մինչև 2014 թ. ապրիլի 1-ը ժ 16⁰⁰-ը:</w:t>
      </w:r>
    </w:p>
    <w:p>
      <w:pPr>
        <w:tabs>
          <w:tab w:val="left" w:pos="10348" w:leader="none"/>
        </w:tabs>
        <w:spacing w:before="0" w:after="0" w:line="240"/>
        <w:ind w:right="-48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10348" w:leader="none"/>
        </w:tabs>
        <w:spacing w:before="0" w:after="0" w:line="240"/>
        <w:ind w:right="-48" w:left="567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 xml:space="preserve">ԳՅՈՒՄՐՈՒ ՔԱՂԱՔԱՊԵՏԱՐԱՆ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gyumricity.am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