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6383" w:leader="none"/>
        </w:tabs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Հ Ա Յ Տ Ա Ր Ա Ր ՈՒ Թ Յ ՈՒ Ն</w:t>
      </w:r>
    </w:p>
    <w:p>
      <w:pPr>
        <w:tabs>
          <w:tab w:val="left" w:pos="6383" w:leader="none"/>
        </w:tabs>
        <w:spacing w:before="0" w:after="0" w:line="240"/>
        <w:ind w:right="0" w:left="0" w:firstLine="0"/>
        <w:jc w:val="center"/>
        <w:rPr>
          <w:rFonts w:ascii="Times Armenian" w:hAnsi="Times Armenian" w:cs="Times Armenian" w:eastAsia="Times Armenian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220" w:left="851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Գյումրու քաղաքապետարանի համայնքային սեփականություն հանդիսացող հողամասերի հրապարակային սակարկությունների (աճուրդների)</w:t>
      </w:r>
    </w:p>
    <w:p>
      <w:pPr>
        <w:spacing w:before="0" w:after="0" w:line="240"/>
        <w:ind w:right="220" w:left="851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1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Կազմակերպման և անցկացման հանձնաժողովը հայտարարում է համայնքային սեփականություն համարվող ներքոհիշյալ հողամասերի փակ դասական աճուրդ</w:t>
      </w:r>
    </w:p>
    <w:tbl>
      <w:tblPr/>
      <w:tblGrid>
        <w:gridCol w:w="566"/>
        <w:gridCol w:w="2411"/>
        <w:gridCol w:w="1393"/>
        <w:gridCol w:w="1725"/>
        <w:gridCol w:w="2267"/>
        <w:gridCol w:w="1559"/>
        <w:gridCol w:w="1701"/>
        <w:gridCol w:w="2387"/>
        <w:gridCol w:w="2009"/>
      </w:tblGrid>
      <w:tr>
        <w:trPr>
          <w:trHeight w:val="553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iolin" w:hAnsi="Briolin" w:cs="Briolin" w:eastAsia="Briolin"/>
                <w:color w:val="auto"/>
                <w:spacing w:val="0"/>
                <w:position w:val="0"/>
                <w:sz w:val="14"/>
                <w:shd w:fill="auto" w:val="clear"/>
              </w:rPr>
              <w:t xml:space="preserve">№                          </w:t>
            </w:r>
          </w:p>
        </w:tc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Հողամասի հասցեն /գտնվելու վայրը/ տարածագնահատման գոտին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  <w:t xml:space="preserve">Ծածկագիր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Մակերեսը քառ.մ.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Հողամասի նպատակային և գործառնական նշանակությունը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Հողամասի օգտագործման նպատակը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Հողամասի նկատմամբ սահմանափակում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ների /ներառյալ սերվիտուտների/ առկայությունը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2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Շրջակա միջավայրի և պատմամշակութային հուշարձանների պահպանության,բնապահպանական և հողերի պահպանության միջոցառումները</w:t>
            </w:r>
          </w:p>
        </w:tc>
        <w:tc>
          <w:tcPr>
            <w:tcW w:w="2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Մեկնարկային գինը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դրամ/</w:t>
            </w:r>
          </w:p>
        </w:tc>
      </w:tr>
      <w:tr>
        <w:trPr>
          <w:trHeight w:val="607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1.</w:t>
            </w:r>
          </w:p>
        </w:tc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Շիրակացի փող., № 13/29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10-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րդ գոտի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  <w:t xml:space="preserve">08-001-0346-0089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389,27</w:t>
            </w:r>
          </w:p>
        </w:tc>
        <w:tc>
          <w:tcPr>
            <w:tcW w:w="1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Բնակավայրերի խառը կառուցապատում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Կառուցապատման նպատակով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2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չի պահանջվում</w:t>
            </w:r>
          </w:p>
        </w:tc>
        <w:tc>
          <w:tcPr>
            <w:tcW w:w="2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2 300 000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Երկու միլիոն երեք հարյուր հազար</w:t>
            </w:r>
          </w:p>
        </w:tc>
      </w:tr>
      <w:tr>
        <w:trPr>
          <w:trHeight w:val="533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2.</w:t>
            </w:r>
          </w:p>
        </w:tc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Սավոյան փող.,№ 23/1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10-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րդ գոտի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  <w:t xml:space="preserve">08-001-0327-0120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269,28</w:t>
            </w:r>
          </w:p>
        </w:tc>
        <w:tc>
          <w:tcPr>
            <w:tcW w:w="1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Բնակավայրերի խառը կառուցապատում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Անհատական բնակելի տան կառուցում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2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չի պահանջվում</w:t>
            </w:r>
          </w:p>
        </w:tc>
        <w:tc>
          <w:tcPr>
            <w:tcW w:w="2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1 600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Միլիոն վեց հարյուր հազար</w:t>
            </w:r>
          </w:p>
        </w:tc>
      </w:tr>
      <w:tr>
        <w:trPr>
          <w:trHeight w:val="482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3.</w:t>
            </w:r>
          </w:p>
        </w:tc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Ծննդատան փող.,№ 3/10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9-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րդ գոտի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  <w:t xml:space="preserve">08-001-1319-0052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47,11</w:t>
            </w:r>
          </w:p>
        </w:tc>
        <w:tc>
          <w:tcPr>
            <w:tcW w:w="1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Բնակավայրերի բնակելի կառուցապատում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Անհատական բնակելի տան կառուցում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2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չի պահանջվում</w:t>
            </w:r>
          </w:p>
        </w:tc>
        <w:tc>
          <w:tcPr>
            <w:tcW w:w="2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270 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Երկու հարյուր յոթանասուն հազար</w:t>
            </w:r>
          </w:p>
        </w:tc>
      </w:tr>
      <w:tr>
        <w:trPr>
          <w:trHeight w:val="858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Armenian" w:hAnsi="Times Armenian" w:cs="Times Armenian" w:eastAsia="Times Armenian"/>
                <w:color w:val="auto"/>
                <w:spacing w:val="0"/>
                <w:position w:val="0"/>
                <w:sz w:val="14"/>
                <w:shd w:fill="auto" w:val="clear"/>
              </w:rPr>
              <w:t xml:space="preserve">4.</w:t>
            </w:r>
          </w:p>
        </w:tc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Չեխովի փող., № 16/1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11-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րդ գոտի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  <w:t xml:space="preserve">08-001-1137-0018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326,9</w:t>
            </w:r>
          </w:p>
        </w:tc>
        <w:tc>
          <w:tcPr>
            <w:tcW w:w="1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Բնակավայրերի բնակելի կառուցապատում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Կառուցապատման նպատակով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2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չի պահանջվում</w:t>
            </w:r>
          </w:p>
        </w:tc>
        <w:tc>
          <w:tcPr>
            <w:tcW w:w="2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1 500 000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Միլիոն հինգ հարյուր հազար</w:t>
            </w:r>
          </w:p>
        </w:tc>
      </w:tr>
      <w:tr>
        <w:trPr>
          <w:trHeight w:val="482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5</w:t>
            </w:r>
            <w:r>
              <w:rPr>
                <w:rFonts w:ascii="Times Armenian" w:hAnsi="Times Armenian" w:cs="Times Armenian" w:eastAsia="Times Armenian"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Մարմաշենի խճ., № 1/4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10-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րդ գոտի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  <w:t xml:space="preserve">08-001-0153-0014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544,52</w:t>
            </w:r>
          </w:p>
        </w:tc>
        <w:tc>
          <w:tcPr>
            <w:tcW w:w="1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Բնակավայրերի բնակելի կառուցապատում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Ավտոկանգառ օգտագործելու նպատակով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2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չի պահանջվում</w:t>
            </w:r>
          </w:p>
        </w:tc>
        <w:tc>
          <w:tcPr>
            <w:tcW w:w="2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5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500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Հինգ միլիոն հինգ հարյուր հազար</w:t>
            </w:r>
          </w:p>
        </w:tc>
      </w:tr>
      <w:tr>
        <w:trPr>
          <w:trHeight w:val="482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6</w:t>
            </w:r>
            <w:r>
              <w:rPr>
                <w:rFonts w:ascii="Times Armenian" w:hAnsi="Times Armenian" w:cs="Times Armenian" w:eastAsia="Times Armenian"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Տիգրան Մեծի պող., № 3/9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9-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րդ գոտի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  <w:t xml:space="preserve">08-001-1323-0045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70,2</w:t>
            </w:r>
          </w:p>
        </w:tc>
        <w:tc>
          <w:tcPr>
            <w:tcW w:w="1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Բնակավայրերի բնակելի կառուցապատում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Ավտոկանգառ օգտագործելու նպատակով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2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չի պահանջվում</w:t>
            </w:r>
          </w:p>
        </w:tc>
        <w:tc>
          <w:tcPr>
            <w:tcW w:w="2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600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վեց հարյուր հազար</w:t>
            </w:r>
          </w:p>
        </w:tc>
      </w:tr>
    </w:tbl>
    <w:p>
      <w:pPr>
        <w:tabs>
          <w:tab w:val="left" w:pos="10348" w:leader="none"/>
        </w:tabs>
        <w:spacing w:before="0" w:after="0" w:line="240"/>
        <w:ind w:right="-48" w:left="567" w:firstLine="0"/>
        <w:jc w:val="both"/>
        <w:rPr>
          <w:rFonts w:ascii="Times Armenian" w:hAnsi="Times Armenian" w:cs="Times Armenian" w:eastAsia="Times Armenian"/>
          <w:color w:val="auto"/>
          <w:spacing w:val="0"/>
          <w:position w:val="0"/>
          <w:sz w:val="10"/>
          <w:shd w:fill="auto" w:val="clear"/>
        </w:rPr>
      </w:pPr>
    </w:p>
    <w:p>
      <w:pPr>
        <w:tabs>
          <w:tab w:val="left" w:pos="10348" w:leader="none"/>
        </w:tabs>
        <w:spacing w:before="0" w:after="0" w:line="240"/>
        <w:ind w:right="-48" w:left="567" w:firstLine="0"/>
        <w:jc w:val="both"/>
        <w:rPr>
          <w:rFonts w:ascii="Times Armenian" w:hAnsi="Times Armenian" w:cs="Times Armenian" w:eastAsia="Times Armenian"/>
          <w:color w:val="auto"/>
          <w:spacing w:val="0"/>
          <w:position w:val="0"/>
          <w:sz w:val="10"/>
          <w:shd w:fill="auto" w:val="clear"/>
        </w:rPr>
      </w:pPr>
    </w:p>
    <w:p>
      <w:pPr>
        <w:tabs>
          <w:tab w:val="left" w:pos="10348" w:leader="none"/>
        </w:tabs>
        <w:spacing w:before="0" w:after="0" w:line="240"/>
        <w:ind w:right="-48" w:left="567" w:firstLine="14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Աճուրդի հաղթողները պետք է համամասնօրեն մասնակցեն նախագծային թաղամասի ճանապարհների և ընդհանուր ինժեներական կոմունիկացիոն ցանցերի նախագծման և կառուցման աշխատանքներին:</w:t>
      </w:r>
    </w:p>
    <w:p>
      <w:pPr>
        <w:tabs>
          <w:tab w:val="left" w:pos="10348" w:leader="none"/>
        </w:tabs>
        <w:spacing w:before="0" w:after="0" w:line="240"/>
        <w:ind w:right="-48" w:left="567" w:firstLine="14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Աճուրդին մասնակցել ցանկացող անձինք աճուրդի կազմակերպման և անցկացման ընթացակարգի, հողամասերի վերաբերյալ գրաֆիրարան նյութերին կարող են ծանոթանալ Գյումրու քաղաքապետարանում /Վարդանանց հր., 1/, ինչպես նաև Գյումրու քաղաքապետարանի ինտերնետային կայքում՝ </w:t>
      </w:r>
      <w:hyperlink xmlns:r="http://schemas.openxmlformats.org/officeDocument/2006/relationships" r:id="docRId0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16"/>
            <w:u w:val="single"/>
            <w:shd w:fill="auto" w:val="clear"/>
          </w:rPr>
          <w:t xml:space="preserve">www.gyumricity.am</w:t>
        </w:r>
      </w:hyperlink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:</w:t>
      </w:r>
    </w:p>
    <w:p>
      <w:pPr>
        <w:tabs>
          <w:tab w:val="left" w:pos="10348" w:leader="none"/>
        </w:tabs>
        <w:spacing w:before="0" w:after="0" w:line="240"/>
        <w:ind w:right="-48" w:left="567" w:firstLine="14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Աճուրդին մասնակցելու իրավունք ունեն՝ ՀՀ քաղաքացիներն ու իրավաբանական անձինք և ՀՀ օրենսդրությամբ սահմանված հողի սեփականության իրավունքի այլ սուբյեկտներ և հողօգտագործողներ:</w:t>
      </w:r>
    </w:p>
    <w:p>
      <w:pPr>
        <w:tabs>
          <w:tab w:val="left" w:pos="10348" w:leader="none"/>
        </w:tabs>
        <w:spacing w:before="0" w:after="0" w:line="240"/>
        <w:ind w:right="-48" w:left="567" w:firstLine="14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Աճուրդի պայմանների, մանրամասներին՝ հողամասի ելակետային տվյալներին, ճարտարապետահատակագծային առաջադրանքի պահանջներին և պայմաններին, հողամասի հատակագծին, պայմանագրի տիպային օրինակին ծանոթանալու ու հայտ ներկայացնելու համար դիմել Գյումրու քաղաքապետարան /Վարդանանց հր., 1, հեռ. 4-82-44/:</w:t>
      </w:r>
    </w:p>
    <w:p>
      <w:pPr>
        <w:tabs>
          <w:tab w:val="left" w:pos="10348" w:leader="none"/>
        </w:tabs>
        <w:spacing w:before="0" w:after="0" w:line="240"/>
        <w:ind w:right="-48" w:left="567" w:firstLine="14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Աճուրդը կայանալու է 2014 թ. ապրիլի 4-ին ժ. 16⁰⁰-ին, Վարդանանց հր., 1, 2-րդ հարկ: Հայտերն ընդունվում են աշխատանքային օրերին՝ մինչև 2014 թ. ապրիլի 1-ը ժ 16⁰⁰-ը:</w:t>
      </w:r>
    </w:p>
    <w:p>
      <w:pPr>
        <w:tabs>
          <w:tab w:val="left" w:pos="10348" w:leader="none"/>
        </w:tabs>
        <w:spacing w:before="0" w:after="0" w:line="240"/>
        <w:ind w:right="-48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10348" w:leader="none"/>
        </w:tabs>
        <w:spacing w:before="0" w:after="0" w:line="240"/>
        <w:ind w:right="-48" w:left="567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ԳՅՈՒՄՐՈՒ ՔԱՂԱՔԱՊԵՏԱՐԱՆ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gyumricity.am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